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Mileyka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Burgos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Allapattah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Mileyka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Birmingham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Mileyka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personifies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Mileyka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reluctant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Allapattah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Allapattah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backbone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Mileyka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Mileyka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Allapattah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am with Mileyka. Some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Allapattah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Mileyka.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 you so much, Matt.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semester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Allapattah.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[foreign language 00:05:20]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nostalgic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'98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Allapattah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where I was. And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Allapattah and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36th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sounds like you had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UM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2013th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they were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YMCA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Ochoa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NALCAB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NALCAB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prosperity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 wasn't overnight.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a commitment.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I'm going to just do this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sponsored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NALCAB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went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they're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demolitions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Allapattah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these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it, Mileyka. Nobody's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501C3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Allapattah Collaborative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Mileyka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Allapattah,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proximity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accelerated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honeymoon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outrageous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Citadel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Bezos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collateral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railroad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where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that's where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with all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demolishments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modifications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storefronts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has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are trying to prevent.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Allapattah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on.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Allapattah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aspects.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Yes.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La Festival del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Platano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Festival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platano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Caribbean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sort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work?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dirt. Love that, mark it down.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homes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storefronts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talk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relentless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30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built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'90s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wonder if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SBAN as we call it, 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barbershop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our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barbershop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Birmingham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prestigious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don't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speak that day and I had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Allapattah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Mileyka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Allapattah,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Allapattah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dwellings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2015,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electorates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desperately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there's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so I would just like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we're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know what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Allapattah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So there you have it.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Mileyka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Burgos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Allapattah Collaborative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Mileyka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guarantee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Allapattah's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Mileyka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Toolkit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iTunes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Appalachia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Ravencraft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Joshua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Mileyka Burgos-Flores (Completed  07/15/24)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Jul 16,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MmXw58WG5s4GHxCoF3q114MiU3a2i2iwRREuAuuxLe3MsGME4rz3lekr4hCCLoWUVQMc-JDRPg-pkYTLAMtXCudleYA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