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Amarillo,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Hodges,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Pop-tarts,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Pop-tarts,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Cupcake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Amarillo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nominations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Amarillo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Amarillo's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Melissa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Oliver-Eakle,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Duchess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Amarillo.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Amarillo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1890s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Mississippi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Amarillo.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1927,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Oliver-Eakle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Amarillo's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skyscraper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fast-forward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Amarillo's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resurgence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redevelopment.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Oliver-Eakle's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Amarillo's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visionaries.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Amarillo.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shout-out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applause.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applause.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applause.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award-winning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moonlit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Amarillo,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Amarillo,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Amarillo.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00:05:49]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hustlers.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adorable.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decorated.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jazzed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Pop-tarts,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Pop-tarts,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Pop-tart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Pop-tarts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Pop-tarts,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Pop-tarts,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frivolous.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house-made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Pop-tarts,"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glaze."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coconut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Pop-tart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stamp.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testimonial.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blueberry,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Pop-tart.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Delish.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delish.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Cupcake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autograph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Cupcake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inquiry.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Poppins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temporary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Cupcake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accomplishments.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00:14:40]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spectacular.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aesthetic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Amarillo.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Amarillo?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woman-owned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women-owned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curtain,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Amarillo.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women-owned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woman-owned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woman-owned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woman-owned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woman-owned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woman-owned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OHMS.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woman-owned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luncheon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Patsy's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incarcerated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brunch,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occasion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outgrowths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Amarillo.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Amarillo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built-in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clientele,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brunch,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brunch.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brunchery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brunch.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brunchery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remodeling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rebranding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applaud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Amarillo.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Cupcake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Cupcake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Cupcake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Amarillo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McCart,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Amarillo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Amarillo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dilapidated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rumors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livelihood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coconut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coconuts.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00:32:41]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66.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Pop-tarts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 Hodges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Almond?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 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Fleetwood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McKinzie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Hodges,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Amarillo,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Pop-tart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coconut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intrinsically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likewise,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Kansas,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MSBI_S2_Ep07 (Completed  03/12/24)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Mar 12,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YPytKU_VoA-vnpS4k6FvFeMAOrb5emMv3C8CS66iFoLlly9dRPIu-7YIG9RbkOBggXFMMrtCr9eHgbo3YbjP5Ad8H6Q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