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unheard.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daunting.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calculus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data-driven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inputs.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crunching.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decision-making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Oops.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four-point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proposition.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puzzle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illuminate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scratch,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dramatic.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incentive,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catalyze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illuminate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tackle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know-how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instinct,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stretch,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psychographics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tackle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separately.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interpreting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counterintuitive,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quantitative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interpret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Esri.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delineated.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8.4%.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surface,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census,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underestimates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37%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enhancements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illuminate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column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column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column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22,764,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5%.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Airbnb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surfacing,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crunches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hybrid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psychographics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interpretation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quantitative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illuminate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illuminate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quantitative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bubble.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delineate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pullbacks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hybrid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illuminate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on-site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vacuum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Altavista,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graphics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nodes.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nodal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nodal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Altavista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concentration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auto-centric,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setbacks.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dramatically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psychographics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fictitious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five-year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five-year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6.1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surface,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20%.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6.1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1.2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hardware,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benchmark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1.2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8,133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illuminate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conducive?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eliminate.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five-year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illuminate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Altavista,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proximity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railroad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pedestrian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impediments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impediments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attempt,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stifles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Galax,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illuminating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undetected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fiddler's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Placer.ai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barbecue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imperative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Placer.ai,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illuminating,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quantitative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illuminate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Birmingham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POLARIS,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Birmingham's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Woodlawn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post-conference,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post-conference.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Episode 11- Local Market Understanding (Completed  04/09/24)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Apr 09,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8ABRQ2IiFBS4uYMKwrPP4IEs3ThFWhSeVDGhEWdqfyVF-Jqx84GOaxYY9fl9x_og0S_UfKfB8OviHnaHU9EhQhTSxr0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