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upper-floor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arbitrary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fluctuations.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precursor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prototype.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tepidness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backbone,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STEM.Those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trepidation,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mall-ish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misnomer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broccoli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Shoalwater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Shoalwater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MSBI_S2-Ep08 (Completed  03/18/24)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18,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W8vJJ799bKikgKfBiDtPQ0O1ubb3HxpX69NCeLXetOxTP38KM5a4sOBH6DPEKLsH57e7lkwZwElFm5MmjeITY1XXzH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