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Biddeford,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hot-off-the-shelf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drop-off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self-financing.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percentage-wise?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5%,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10%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5%,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10%,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3%,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misconceptions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accredited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Sissle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Sissle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GoFundMe?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donation-based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GoFundMe.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not-for-profit.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high-finance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rewards-based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Kickstarter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Indiegogo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skateboard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bumper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T-shirt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wonky.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non-profit,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bumper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bumper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burgeoning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7,500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bonkers.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maneuver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cluttered.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misconceptions.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bookkeeper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trustworthy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Q&amp;A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Sissle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burgeoning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Sissle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container.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repurposed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containers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self-funded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$12,000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Woodfords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Woodfords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revitalizing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Sissle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rebranded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rebranding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decision-making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neighborhood-y.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Bayside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00:19:21]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calculations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150,000,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ambitious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94,000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288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self-financing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95,000,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calculation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1.5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magnified,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Ottaqua,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mid-coast.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Mid-coast?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suburban.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1930s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Pemaquid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12-mile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Waldoboro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Damariscotta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buyouts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cabins.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seismic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buyouts.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weddings,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houseboats,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honeymoon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tourism-wise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volatile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sauna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add-ons.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sauna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Brooklyn,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piqued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nutshell.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houseboats,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sauna,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sauna.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institutional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lenders?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Damariscotta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tourism-based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suspect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Woodfords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sub-city,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newsletters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Q&amp;A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peer-to-peer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drop-offs.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GoFundMe's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to-do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Isabelle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vocabulary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donation-based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open-ended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month-long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Isabelle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momentum.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Delilah,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Delilah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Delilah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proprietary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reputation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Sissle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heuristics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loyal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incentives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follow-up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comprehensive.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follow-up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municipalities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contributions?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expire.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reiterating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a.m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P.M.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monetarily,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real-world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hiatus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2025.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compilation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showcasing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chock-full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Lifshank,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Bowden,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amateur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algorithms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MSBI Maine Conference (Completed  12/18/24)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Dec 18,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So4A-sNx49YO31vhzsHiOOjuo-2Mu6IU-QPCP8uxEPg81RvYnxCK4etT2AxIziGSaQD08wpnerTU0H3pnulrvHcRCXw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