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vineyards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you, Matt.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pedestrian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pedestrian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pedestrian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really been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pedestrian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pedestrian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The Rundle Mall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has 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Promenade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has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their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?'"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think I was going to say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in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alfresco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course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cases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coming into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,000. And they've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other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'50s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1950s.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Brisbane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 people have said,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5%,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office occupancy?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300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US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saying, "Okay,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they've got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don't know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.5%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1.5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Australia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2020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choose?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come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we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with AI? How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more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I mean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"Does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manage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$47,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95%,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60%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100%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get somebody.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little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their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mainstreet,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we've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mainstreets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Adelaide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trolleys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want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Tahlequah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David West (Completed  10/01/24)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01,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wTZBbmdmdEoJ1CkXU22CzXLKOvJXeihSsfFyxiBUrSwxVfsRZ1xELrs7f4jjXPLmcU0ImCHS_KdXtXtXvP6XIP-tzzM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