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huskier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Level-Moore.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Tuskegee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ideating?"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inauthentic.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Woodlawn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$750.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Inglewood,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Inglewood,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done.'"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girl..."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56-week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small-scale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accountant."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intangibles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astronaut.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martyr.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martyr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10:00,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2:00,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 Baux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Q&amp;A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 Baux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00:32:34]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 Baux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 Levels-Moore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"Hi,"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Dionne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Torray.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Torray's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Merritt,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Levels-Moore.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Levels-Moore,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Birmingham,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self-motivated.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Alycia's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how-tos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Episode 12- Live Event INTV (Completed  05/21/24)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22,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CoDbrQr88cEaj71p58OYnVwXKK1iIPgKcjYL3De6KC6JrQ6GvSb_q_GXs4NbLVQTz26JkZbysKOocfD8yE7JQhIAS8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