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nonetheless,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10.75%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tariffs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tariffs,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mom-and-pop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inhibit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Ozempic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Ozempic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Fijital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Fijital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third-party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Twilio's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re-examine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hyper-personalization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hyper-personalized.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end-all.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hyper-personalization,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tsunami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peak-sixty-five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16.8%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8.6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tsunami,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downsize.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leisure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crescendo,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Thompson,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kiosk,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furnishings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gadgets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Thompson,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Dottie's.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Dottie.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Woodbury,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tsunami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2025 Predictions (Completed  01/28/25)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28,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MmeWaYzMccQAwDnqWBbyspbEKnHI64OarSBz9mxp9jZ86IHuUA5MVdiXu3vnwnQ-V94JxDPd9zR8yAGa7Jm7Eyfyzvs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